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B6502F"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B6502F">
        <w:tc>
          <w:tcPr>
            <w:tcW w:w="4075" w:type="dxa"/>
            <w:gridSpan w:val="2"/>
            <w:shd w:val="clear" w:color="auto" w:fill="auto"/>
          </w:tcPr>
          <w:p w:rsidR="00C74F31" w:rsidRDefault="009D72AA" w:rsidP="00C74F31">
            <w:pPr>
              <w:rPr>
                <w:rFonts w:ascii="Arial" w:hAnsi="Arial"/>
                <w:b/>
              </w:rPr>
            </w:pPr>
            <w:r w:rsidRPr="00E73D2F">
              <w:rPr>
                <w:rFonts w:ascii="Arial" w:hAnsi="Arial"/>
                <w:b/>
              </w:rPr>
              <w:t>Officer:</w:t>
            </w:r>
            <w:r w:rsidR="00CE022F">
              <w:rPr>
                <w:rFonts w:ascii="Arial" w:hAnsi="Arial"/>
                <w:b/>
              </w:rPr>
              <w:t xml:space="preserve"> </w:t>
            </w:r>
            <w:r w:rsidR="00F7114F">
              <w:rPr>
                <w:rFonts w:ascii="Arial" w:hAnsi="Arial"/>
                <w:b/>
              </w:rPr>
              <w:t>Head of Housing</w:t>
            </w:r>
          </w:p>
          <w:p w:rsidR="009D72AA" w:rsidRPr="00E73D2F" w:rsidRDefault="00154649" w:rsidP="00C74F31">
            <w:pPr>
              <w:rPr>
                <w:rFonts w:ascii="Arial" w:hAnsi="Arial"/>
              </w:rPr>
            </w:pPr>
            <w:r>
              <w:rPr>
                <w:rFonts w:ascii="Arial" w:hAnsi="Arial"/>
                <w:b/>
              </w:rPr>
              <w:t xml:space="preserve"> </w:t>
            </w:r>
          </w:p>
        </w:tc>
        <w:tc>
          <w:tcPr>
            <w:tcW w:w="5040" w:type="dxa"/>
            <w:shd w:val="clear" w:color="auto" w:fill="auto"/>
          </w:tcPr>
          <w:p w:rsidR="00E74CDA" w:rsidRPr="00D9436E" w:rsidRDefault="00586F20" w:rsidP="00373837">
            <w:pPr>
              <w:rPr>
                <w:rFonts w:ascii="Arial" w:hAnsi="Arial"/>
              </w:rPr>
            </w:pPr>
            <w:r w:rsidRPr="00E73D2F">
              <w:rPr>
                <w:rFonts w:ascii="Arial" w:hAnsi="Arial"/>
                <w:b/>
              </w:rPr>
              <w:t>Date of Decision:</w:t>
            </w:r>
            <w:r w:rsidR="00CE022F">
              <w:rPr>
                <w:rFonts w:ascii="Arial" w:hAnsi="Arial"/>
                <w:b/>
              </w:rPr>
              <w:t xml:space="preserve"> </w:t>
            </w:r>
            <w:r w:rsidR="004A1142">
              <w:rPr>
                <w:rFonts w:ascii="Arial" w:hAnsi="Arial"/>
                <w:b/>
              </w:rPr>
              <w:t>12 May 2022</w:t>
            </w:r>
          </w:p>
          <w:p w:rsidR="00136429" w:rsidRPr="00E73D2F" w:rsidRDefault="00136429" w:rsidP="00373837">
            <w:pPr>
              <w:rPr>
                <w:rFonts w:ascii="Arial" w:hAnsi="Arial"/>
              </w:rPr>
            </w:pPr>
          </w:p>
        </w:tc>
      </w:tr>
      <w:tr w:rsidR="00586F20" w:rsidRPr="00E73D2F" w:rsidTr="00B6502F">
        <w:tc>
          <w:tcPr>
            <w:tcW w:w="9115" w:type="dxa"/>
            <w:gridSpan w:val="3"/>
            <w:shd w:val="clear" w:color="auto" w:fill="auto"/>
          </w:tcPr>
          <w:p w:rsidR="00957E23" w:rsidRPr="00EB3874" w:rsidRDefault="00586F20" w:rsidP="00122023">
            <w:pPr>
              <w:rPr>
                <w:rFonts w:ascii="Arial" w:hAnsi="Arial"/>
              </w:rPr>
            </w:pPr>
            <w:r w:rsidRPr="00E73D2F">
              <w:rPr>
                <w:rFonts w:ascii="Arial" w:hAnsi="Arial"/>
                <w:b/>
              </w:rPr>
              <w:t xml:space="preserve">Title/Reference: </w:t>
            </w:r>
            <w:r w:rsidR="00154649">
              <w:rPr>
                <w:rFonts w:ascii="Arial" w:hAnsi="Arial"/>
                <w:b/>
              </w:rPr>
              <w:t xml:space="preserve"> </w:t>
            </w:r>
            <w:r w:rsidR="00F7114F" w:rsidRPr="00EB3874">
              <w:rPr>
                <w:rFonts w:ascii="Arial" w:hAnsi="Arial"/>
              </w:rPr>
              <w:t>The Willows – Procurement to supply and fit external fire escape</w:t>
            </w:r>
          </w:p>
          <w:p w:rsidR="00F7114F" w:rsidRDefault="00F7114F" w:rsidP="00122023">
            <w:pPr>
              <w:rPr>
                <w:rFonts w:ascii="Arial" w:hAnsi="Arial"/>
                <w:b/>
              </w:rPr>
            </w:pPr>
          </w:p>
          <w:p w:rsidR="00E74CDA" w:rsidRPr="00EA42B2" w:rsidRDefault="00557B22" w:rsidP="00122023">
            <w:pPr>
              <w:rPr>
                <w:rFonts w:ascii="Arial" w:hAnsi="Arial"/>
                <w:b/>
              </w:rPr>
            </w:pPr>
            <w:r>
              <w:rPr>
                <w:rFonts w:ascii="Arial" w:hAnsi="Arial"/>
                <w:b/>
              </w:rPr>
              <w:t xml:space="preserve">Delegated Decision </w:t>
            </w:r>
            <w:r w:rsidR="00E74CDA" w:rsidRPr="00BB48D6">
              <w:rPr>
                <w:rFonts w:ascii="Arial" w:hAnsi="Arial"/>
                <w:b/>
              </w:rPr>
              <w:t>Ref</w:t>
            </w:r>
            <w:r w:rsidR="00511DD3">
              <w:rPr>
                <w:rFonts w:ascii="Arial" w:hAnsi="Arial"/>
              </w:rPr>
              <w:t>:</w:t>
            </w:r>
            <w:r w:rsidR="007474BF">
              <w:rPr>
                <w:rFonts w:ascii="Arial" w:hAnsi="Arial"/>
              </w:rPr>
              <w:t xml:space="preserve"> </w:t>
            </w:r>
            <w:r w:rsidR="007474BF" w:rsidRPr="007474BF">
              <w:rPr>
                <w:rFonts w:ascii="Arial" w:hAnsi="Arial"/>
              </w:rPr>
              <w:t>22/23/H</w:t>
            </w:r>
          </w:p>
        </w:tc>
      </w:tr>
      <w:tr w:rsidR="00586F20" w:rsidRPr="00E73D2F" w:rsidTr="00B6502F">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B6502F">
        <w:tc>
          <w:tcPr>
            <w:tcW w:w="9115" w:type="dxa"/>
            <w:gridSpan w:val="3"/>
            <w:shd w:val="clear" w:color="auto" w:fill="auto"/>
          </w:tcPr>
          <w:p w:rsidR="00D9436E"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r w:rsidR="008C058C">
              <w:rPr>
                <w:rFonts w:ascii="Arial" w:hAnsi="Arial"/>
                <w:b/>
              </w:rPr>
              <w:t xml:space="preserve">  </w:t>
            </w:r>
          </w:p>
          <w:p w:rsidR="00205283" w:rsidRDefault="00205283" w:rsidP="00373837">
            <w:pPr>
              <w:jc w:val="both"/>
              <w:rPr>
                <w:rFonts w:ascii="Arial" w:hAnsi="Arial"/>
                <w:b/>
              </w:rPr>
            </w:pPr>
          </w:p>
          <w:p w:rsidR="00205283" w:rsidRDefault="00205283" w:rsidP="00373837">
            <w:pPr>
              <w:jc w:val="both"/>
              <w:rPr>
                <w:rFonts w:ascii="Arial" w:hAnsi="Arial"/>
              </w:rPr>
            </w:pPr>
            <w:r>
              <w:rPr>
                <w:rFonts w:ascii="Arial" w:hAnsi="Arial"/>
              </w:rPr>
              <w:t>In order to demolish the redundant boiler house at The Willows sheltered housing scheme, it is necessary to install a new external fire escape.  The cost of the work is estimated to be around £50,000 and will be a capital spend from the Housing Revenue Account.</w:t>
            </w:r>
          </w:p>
          <w:p w:rsidR="00205283" w:rsidRDefault="00205283" w:rsidP="00373837">
            <w:pPr>
              <w:jc w:val="both"/>
              <w:rPr>
                <w:rFonts w:ascii="Arial" w:hAnsi="Arial"/>
              </w:rPr>
            </w:pPr>
          </w:p>
          <w:p w:rsidR="00205283" w:rsidRPr="00205283" w:rsidRDefault="00205283" w:rsidP="00373837">
            <w:pPr>
              <w:jc w:val="both"/>
              <w:rPr>
                <w:rFonts w:ascii="Arial" w:hAnsi="Arial"/>
              </w:rPr>
            </w:pPr>
            <w:r>
              <w:rPr>
                <w:rFonts w:ascii="Arial" w:hAnsi="Arial"/>
              </w:rPr>
              <w:t>It is recommended:</w:t>
            </w:r>
          </w:p>
          <w:p w:rsidR="00D9436E" w:rsidRDefault="00D9436E" w:rsidP="00373837">
            <w:pPr>
              <w:jc w:val="both"/>
              <w:rPr>
                <w:rFonts w:ascii="Arial" w:hAnsi="Arial"/>
                <w:b/>
              </w:rPr>
            </w:pPr>
          </w:p>
          <w:p w:rsidR="00FB2F40" w:rsidRDefault="00FB2F40" w:rsidP="00FB2F40">
            <w:pPr>
              <w:jc w:val="both"/>
              <w:rPr>
                <w:rFonts w:ascii="Arial" w:hAnsi="Arial" w:cs="Arial"/>
              </w:rPr>
            </w:pPr>
            <w:r>
              <w:rPr>
                <w:rFonts w:ascii="Arial" w:hAnsi="Arial" w:cs="Arial"/>
              </w:rPr>
              <w:t xml:space="preserve">1. </w:t>
            </w:r>
            <w:r w:rsidRPr="00FB2F40">
              <w:rPr>
                <w:rFonts w:ascii="Arial" w:hAnsi="Arial" w:cs="Arial"/>
              </w:rPr>
              <w:t>That the Development Manager is authorised to undertake a procurement exercise</w:t>
            </w:r>
            <w:r>
              <w:rPr>
                <w:rFonts w:ascii="Arial" w:hAnsi="Arial" w:cs="Arial"/>
              </w:rPr>
              <w:t xml:space="preserve"> to procure a main contractor for the supply and fitting of an external fire escape at The Willows sheltered housing scheme.</w:t>
            </w:r>
          </w:p>
          <w:p w:rsidR="00FB2F40" w:rsidRDefault="00FB2F40" w:rsidP="00FB2F40">
            <w:pPr>
              <w:jc w:val="both"/>
              <w:rPr>
                <w:rFonts w:ascii="Arial" w:hAnsi="Arial" w:cs="Arial"/>
              </w:rPr>
            </w:pPr>
          </w:p>
          <w:p w:rsidR="00FB2F40" w:rsidRDefault="00FB2F40" w:rsidP="00FB2F40">
            <w:pPr>
              <w:jc w:val="both"/>
              <w:rPr>
                <w:rFonts w:ascii="Arial" w:hAnsi="Arial" w:cs="Arial"/>
              </w:rPr>
            </w:pPr>
            <w:r>
              <w:rPr>
                <w:rFonts w:ascii="Arial" w:hAnsi="Arial" w:cs="Arial"/>
              </w:rPr>
              <w:t xml:space="preserve">2. </w:t>
            </w:r>
            <w:r w:rsidRPr="00FB2F40">
              <w:rPr>
                <w:rFonts w:ascii="Arial" w:hAnsi="Arial" w:cs="Arial"/>
              </w:rPr>
              <w:t>That subject to a satisfactory tender exercise and evaluation the Development Manager in consultation with the Head of Housing and the Nottingham City Council Procurement Unit is authorised to award the contract to the winning tenderer and is authorised to enter into an NEC Engineering and C</w:t>
            </w:r>
            <w:r>
              <w:rPr>
                <w:rFonts w:ascii="Arial" w:hAnsi="Arial" w:cs="Arial"/>
              </w:rPr>
              <w:t>onstruction Contract Version 4</w:t>
            </w:r>
            <w:r w:rsidRPr="00FB2F40">
              <w:rPr>
                <w:rFonts w:ascii="Arial" w:hAnsi="Arial" w:cs="Arial"/>
              </w:rPr>
              <w:t>.</w:t>
            </w:r>
          </w:p>
          <w:p w:rsidR="00FB2F40" w:rsidRDefault="00FB2F40" w:rsidP="00FB2F40">
            <w:pPr>
              <w:jc w:val="both"/>
              <w:rPr>
                <w:rFonts w:ascii="Arial" w:hAnsi="Arial" w:cs="Arial"/>
              </w:rPr>
            </w:pPr>
          </w:p>
          <w:p w:rsidR="00FB2F40" w:rsidRPr="00FB2F40" w:rsidRDefault="00FB2F40" w:rsidP="00FB2F40">
            <w:pPr>
              <w:jc w:val="both"/>
              <w:rPr>
                <w:rFonts w:ascii="Arial" w:hAnsi="Arial" w:cs="Arial"/>
              </w:rPr>
            </w:pPr>
            <w:r>
              <w:rPr>
                <w:rFonts w:ascii="Arial" w:hAnsi="Arial" w:cs="Arial"/>
              </w:rPr>
              <w:t xml:space="preserve">3. </w:t>
            </w:r>
            <w:r w:rsidRPr="00FB2F40">
              <w:rPr>
                <w:rFonts w:ascii="Arial" w:hAnsi="Arial" w:cs="Arial"/>
              </w:rPr>
              <w:t>That the Development Manager is given authority to instruct the Shared Legal Service to draft and finalise the necessary contract documentation and to enter into any warranties and agreements that may reasonably be necessary to enable completion of the development.</w:t>
            </w:r>
          </w:p>
          <w:p w:rsidR="00136429" w:rsidRPr="00FB2F40" w:rsidRDefault="00136429" w:rsidP="00FB2F40">
            <w:pPr>
              <w:jc w:val="both"/>
              <w:rPr>
                <w:rFonts w:ascii="Arial" w:hAnsi="Arial"/>
              </w:rPr>
            </w:pPr>
          </w:p>
        </w:tc>
      </w:tr>
      <w:tr w:rsidR="003D5331" w:rsidRPr="00E73D2F" w:rsidTr="00B6502F">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B6502F" w:rsidRDefault="00B6502F" w:rsidP="003D5331">
            <w:pPr>
              <w:rPr>
                <w:rFonts w:ascii="Arial" w:hAnsi="Arial"/>
                <w:b/>
              </w:rPr>
            </w:pPr>
          </w:p>
          <w:p w:rsidR="00D9436E" w:rsidRPr="00E440A6" w:rsidRDefault="00E440A6" w:rsidP="003D5331">
            <w:pPr>
              <w:rPr>
                <w:rFonts w:ascii="Arial" w:hAnsi="Arial"/>
              </w:rPr>
            </w:pPr>
            <w:r>
              <w:rPr>
                <w:rFonts w:ascii="Arial" w:hAnsi="Arial"/>
              </w:rPr>
              <w:t>The constitution stipulates at 3.01.19.1 that the Head of Housing has the authority to take all operational decisions in respect of the Council’s homelessness, housing, housing repairs, private sector housing, strategic housing and housing property management functions.</w:t>
            </w:r>
          </w:p>
          <w:p w:rsidR="009B6FB1" w:rsidRPr="00E73D2F" w:rsidRDefault="009B6FB1" w:rsidP="00E440A6">
            <w:pPr>
              <w:rPr>
                <w:rFonts w:ascii="Arial" w:hAnsi="Arial"/>
                <w:b/>
              </w:rPr>
            </w:pPr>
          </w:p>
        </w:tc>
      </w:tr>
      <w:tr w:rsidR="00E524AE" w:rsidRPr="00E73D2F" w:rsidTr="00B6502F">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p>
          <w:p w:rsidR="009F152B" w:rsidRDefault="009F152B" w:rsidP="008D4EBC">
            <w:pPr>
              <w:rPr>
                <w:rFonts w:ascii="Arial" w:hAnsi="Arial"/>
              </w:rPr>
            </w:pPr>
            <w:r w:rsidRPr="009F152B">
              <w:rPr>
                <w:rFonts w:ascii="Arial" w:hAnsi="Arial"/>
              </w:rPr>
              <w:t>Section 1 of the Local Government (Contracts) Act 1997 confers powers on a local authority to enter into contract for the purposes of discharging functions where a statutory provision confers or imposes such functions.</w:t>
            </w:r>
          </w:p>
          <w:p w:rsidR="008D4EBC" w:rsidRPr="00E73D2F" w:rsidRDefault="008D4EBC" w:rsidP="008D4EBC">
            <w:pPr>
              <w:rPr>
                <w:rFonts w:ascii="Arial" w:hAnsi="Arial"/>
                <w:b/>
              </w:rPr>
            </w:pPr>
          </w:p>
        </w:tc>
      </w:tr>
      <w:tr w:rsidR="00E524AE" w:rsidRPr="00E73D2F" w:rsidTr="00B6502F">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Default="00E524AE" w:rsidP="008F26A7">
            <w:pPr>
              <w:ind w:left="720" w:hanging="720"/>
              <w:rPr>
                <w:rFonts w:ascii="Arial" w:hAnsi="Arial"/>
                <w:b/>
              </w:rPr>
            </w:pPr>
            <w:r w:rsidRPr="00E73D2F">
              <w:rPr>
                <w:rFonts w:ascii="Arial" w:hAnsi="Arial"/>
                <w:b/>
              </w:rPr>
              <w:t xml:space="preserve">Finance: </w:t>
            </w:r>
          </w:p>
          <w:p w:rsidR="009F152B" w:rsidRDefault="009F152B" w:rsidP="008F26A7">
            <w:pPr>
              <w:ind w:left="720" w:hanging="720"/>
              <w:rPr>
                <w:rFonts w:ascii="Arial" w:hAnsi="Arial"/>
                <w:b/>
              </w:rPr>
            </w:pPr>
          </w:p>
          <w:p w:rsidR="009F152B" w:rsidRPr="009F152B" w:rsidRDefault="009F152B" w:rsidP="009F152B">
            <w:pPr>
              <w:ind w:left="33" w:hanging="33"/>
              <w:rPr>
                <w:rFonts w:ascii="Arial" w:hAnsi="Arial"/>
              </w:rPr>
            </w:pPr>
            <w:r>
              <w:rPr>
                <w:rFonts w:ascii="Arial" w:hAnsi="Arial"/>
              </w:rPr>
              <w:t>There is a budget to allow for the fire escape works prior to the demolition of the boiler house.</w:t>
            </w:r>
          </w:p>
          <w:p w:rsidR="00E524AE" w:rsidRPr="00E73D2F" w:rsidRDefault="00E524AE" w:rsidP="00122023">
            <w:pPr>
              <w:rPr>
                <w:rFonts w:ascii="Arial" w:hAnsi="Arial"/>
                <w:b/>
              </w:rPr>
            </w:pPr>
          </w:p>
        </w:tc>
      </w:tr>
      <w:tr w:rsidR="00E524AE" w:rsidRPr="00E73D2F" w:rsidTr="00B6502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B6502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E440A6">
              <w:rPr>
                <w:rFonts w:ascii="Arial" w:hAnsi="Arial"/>
              </w:rPr>
              <w:t>No implications</w:t>
            </w:r>
            <w:r w:rsidR="008F26A7" w:rsidRPr="008F26A7">
              <w:rPr>
                <w:rFonts w:ascii="Arial" w:hAnsi="Arial"/>
              </w:rPr>
              <w:t xml:space="preserve">. </w:t>
            </w:r>
          </w:p>
          <w:p w:rsidR="00E524AE" w:rsidRPr="00E73D2F" w:rsidRDefault="00E524AE" w:rsidP="003D5331">
            <w:pPr>
              <w:rPr>
                <w:rFonts w:ascii="Arial" w:hAnsi="Arial"/>
                <w:b/>
              </w:rPr>
            </w:pPr>
          </w:p>
        </w:tc>
      </w:tr>
      <w:tr w:rsidR="00E524AE" w:rsidRPr="00E73D2F" w:rsidTr="00B6502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r w:rsidR="00E440A6">
              <w:rPr>
                <w:rFonts w:ascii="Arial" w:hAnsi="Arial"/>
              </w:rPr>
              <w:t>.</w:t>
            </w:r>
          </w:p>
          <w:p w:rsidR="00E524AE" w:rsidRPr="00E73D2F" w:rsidRDefault="00E524AE" w:rsidP="003D5331">
            <w:pPr>
              <w:rPr>
                <w:rFonts w:ascii="Arial" w:hAnsi="Arial"/>
                <w:b/>
              </w:rPr>
            </w:pPr>
          </w:p>
        </w:tc>
      </w:tr>
      <w:tr w:rsidR="00E524AE" w:rsidRPr="00E73D2F" w:rsidTr="00B6502F">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C94F51">
              <w:rPr>
                <w:rFonts w:ascii="Arial" w:hAnsi="Arial" w:cs="Arial"/>
              </w:rPr>
              <w:t>No implications.</w:t>
            </w:r>
          </w:p>
          <w:p w:rsidR="00E524AE" w:rsidRPr="00E524AE" w:rsidRDefault="00E524AE" w:rsidP="003D5331">
            <w:pPr>
              <w:rPr>
                <w:rFonts w:ascii="Arial" w:hAnsi="Arial"/>
                <w:b/>
              </w:rPr>
            </w:pPr>
          </w:p>
        </w:tc>
      </w:tr>
      <w:tr w:rsidR="00E524AE" w:rsidRPr="00E73D2F" w:rsidTr="00B6502F">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C94F51">
            <w:pPr>
              <w:ind w:left="720" w:hanging="720"/>
              <w:rPr>
                <w:rFonts w:ascii="Arial" w:hAnsi="Arial"/>
              </w:rPr>
            </w:pPr>
            <w:r w:rsidRPr="00E524AE">
              <w:rPr>
                <w:rFonts w:ascii="Arial" w:hAnsi="Arial"/>
                <w:b/>
              </w:rPr>
              <w:t>Equality and Diversity:</w:t>
            </w:r>
            <w:r w:rsidR="00E74CDA">
              <w:rPr>
                <w:rFonts w:ascii="Arial" w:hAnsi="Arial"/>
                <w:b/>
              </w:rPr>
              <w:t xml:space="preserve"> </w:t>
            </w:r>
            <w:r w:rsidR="00C94F51">
              <w:rPr>
                <w:rFonts w:ascii="Arial" w:hAnsi="Arial"/>
              </w:rPr>
              <w:t>No implications</w:t>
            </w:r>
            <w:r w:rsidR="008F26A7" w:rsidRPr="008F26A7">
              <w:rPr>
                <w:rFonts w:ascii="Arial" w:hAnsi="Arial"/>
              </w:rPr>
              <w:t>.</w:t>
            </w:r>
          </w:p>
          <w:p w:rsidR="00E524AE" w:rsidRPr="00E524AE" w:rsidRDefault="00E524AE" w:rsidP="003D5331">
            <w:pPr>
              <w:rPr>
                <w:rFonts w:ascii="Arial" w:hAnsi="Arial"/>
                <w:b/>
              </w:rPr>
            </w:pPr>
          </w:p>
        </w:tc>
      </w:tr>
      <w:tr w:rsidR="003D5331" w:rsidRPr="00E73D2F" w:rsidTr="00B6502F">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E74CDA" w:rsidRDefault="003D5331" w:rsidP="008C058C">
            <w:pPr>
              <w:rPr>
                <w:rFonts w:ascii="Arial" w:hAnsi="Arial"/>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w:t>
            </w:r>
          </w:p>
          <w:p w:rsidR="008C058C" w:rsidRPr="00E73D2F" w:rsidRDefault="008C058C" w:rsidP="008C058C">
            <w:pPr>
              <w:rPr>
                <w:rFonts w:ascii="Arial" w:hAnsi="Arial"/>
                <w:b/>
              </w:rPr>
            </w:pPr>
          </w:p>
        </w:tc>
      </w:tr>
      <w:tr w:rsidR="003D5331" w:rsidRPr="00E73D2F" w:rsidTr="00B6502F">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E74CDA" w:rsidRDefault="004763D9" w:rsidP="009F152B">
            <w:pPr>
              <w:rPr>
                <w:rFonts w:ascii="Arial" w:hAnsi="Arial"/>
                <w:b/>
              </w:rPr>
            </w:pPr>
            <w:r>
              <w:rPr>
                <w:rFonts w:ascii="Arial" w:hAnsi="Arial"/>
                <w:b/>
              </w:rPr>
              <w:t xml:space="preserve">Deputy </w:t>
            </w:r>
            <w:r w:rsidR="003D5331" w:rsidRPr="00E73D2F">
              <w:rPr>
                <w:rFonts w:ascii="Arial" w:hAnsi="Arial"/>
                <w:b/>
              </w:rPr>
              <w:t>Monitoring Officer:</w:t>
            </w:r>
            <w:r w:rsidR="00A64365">
              <w:rPr>
                <w:rFonts w:ascii="Arial" w:hAnsi="Arial"/>
                <w:b/>
              </w:rPr>
              <w:t xml:space="preserve"> </w:t>
            </w:r>
          </w:p>
          <w:p w:rsidR="004763D9" w:rsidRDefault="004763D9" w:rsidP="009F152B">
            <w:pPr>
              <w:rPr>
                <w:rFonts w:ascii="Arial" w:hAnsi="Arial"/>
              </w:rPr>
            </w:pPr>
          </w:p>
          <w:p w:rsidR="004763D9" w:rsidRPr="004763D9" w:rsidRDefault="004763D9" w:rsidP="009F152B">
            <w:pPr>
              <w:rPr>
                <w:rFonts w:ascii="Arial" w:hAnsi="Arial"/>
              </w:rPr>
            </w:pPr>
            <w:r>
              <w:rPr>
                <w:rFonts w:ascii="Arial" w:hAnsi="Arial"/>
              </w:rPr>
              <w:t>No specific comments.</w:t>
            </w:r>
          </w:p>
        </w:tc>
      </w:tr>
      <w:tr w:rsidR="003D5331" w:rsidRPr="00E73D2F" w:rsidTr="00B6502F">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Default="004A1142" w:rsidP="009F152B">
            <w:pPr>
              <w:rPr>
                <w:rFonts w:ascii="Arial" w:hAnsi="Arial"/>
                <w:b/>
              </w:rPr>
            </w:pPr>
            <w:r>
              <w:rPr>
                <w:rFonts w:ascii="Arial" w:hAnsi="Arial"/>
                <w:b/>
              </w:rPr>
              <w:t xml:space="preserve">Deputy </w:t>
            </w:r>
            <w:r w:rsidR="003D5331" w:rsidRPr="00E73D2F">
              <w:rPr>
                <w:rFonts w:ascii="Arial" w:hAnsi="Arial"/>
                <w:b/>
              </w:rPr>
              <w:t>Section 151 Officer:</w:t>
            </w:r>
            <w:r w:rsidR="00A64365">
              <w:rPr>
                <w:rFonts w:ascii="Arial" w:hAnsi="Arial"/>
                <w:b/>
              </w:rPr>
              <w:t xml:space="preserve"> </w:t>
            </w:r>
          </w:p>
          <w:p w:rsidR="004A1142" w:rsidRDefault="004A1142" w:rsidP="009F152B">
            <w:pPr>
              <w:rPr>
                <w:rFonts w:ascii="Arial" w:hAnsi="Arial"/>
                <w:b/>
              </w:rPr>
            </w:pPr>
          </w:p>
          <w:p w:rsidR="004A1142" w:rsidRPr="004A1142" w:rsidRDefault="004A1142" w:rsidP="009F152B">
            <w:pPr>
              <w:rPr>
                <w:rFonts w:ascii="Arial" w:hAnsi="Arial"/>
              </w:rPr>
            </w:pPr>
            <w:r>
              <w:rPr>
                <w:rFonts w:ascii="Arial" w:hAnsi="Arial"/>
              </w:rPr>
              <w:t>No specific comment.</w:t>
            </w:r>
          </w:p>
        </w:tc>
      </w:tr>
      <w:tr w:rsidR="00046933" w:rsidRPr="00E73D2F" w:rsidTr="00B6502F">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8E25B2" w:rsidRDefault="008E25B2" w:rsidP="003D5331">
            <w:pPr>
              <w:rPr>
                <w:rFonts w:ascii="Arial" w:hAnsi="Arial"/>
                <w:b/>
              </w:rPr>
            </w:pPr>
          </w:p>
          <w:p w:rsidR="008E25B2" w:rsidRDefault="008E25B2" w:rsidP="003D5331">
            <w:pPr>
              <w:rPr>
                <w:rFonts w:ascii="Arial" w:hAnsi="Arial"/>
                <w:b/>
              </w:rPr>
            </w:pPr>
          </w:p>
          <w:p w:rsidR="008E25B2" w:rsidRDefault="00C93366" w:rsidP="003D5331">
            <w:pPr>
              <w:rPr>
                <w:rFonts w:ascii="Arial" w:hAnsi="Arial"/>
                <w:b/>
              </w:rPr>
            </w:pPr>
            <w:r>
              <w:rPr>
                <w:rFonts w:ascii="Arial" w:hAnsi="Arial" w:cs="Arial"/>
                <w:noProof/>
              </w:rPr>
              <w:t>Jill Finnesey</w:t>
            </w:r>
            <w:bookmarkStart w:id="0" w:name="_GoBack"/>
            <w:bookmarkEnd w:id="0"/>
          </w:p>
          <w:p w:rsidR="008E25B2" w:rsidRPr="00E73D2F" w:rsidRDefault="008E25B2" w:rsidP="00C93366">
            <w:pPr>
              <w:rPr>
                <w:rFonts w:ascii="Arial" w:hAnsi="Arial"/>
                <w:b/>
              </w:rPr>
            </w:pPr>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2E566A" w:rsidRP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A7E" w:rsidRDefault="00801A7E">
      <w:r>
        <w:separator/>
      </w:r>
    </w:p>
  </w:endnote>
  <w:endnote w:type="continuationSeparator" w:id="0">
    <w:p w:rsidR="00801A7E" w:rsidRDefault="0080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A7E" w:rsidRDefault="00801A7E">
      <w:r>
        <w:separator/>
      </w:r>
    </w:p>
  </w:footnote>
  <w:footnote w:type="continuationSeparator" w:id="0">
    <w:p w:rsidR="00801A7E" w:rsidRDefault="0080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8500E36"/>
    <w:multiLevelType w:val="hybridMultilevel"/>
    <w:tmpl w:val="A568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32FE"/>
    <w:rsid w:val="00046933"/>
    <w:rsid w:val="000511FB"/>
    <w:rsid w:val="00053EC2"/>
    <w:rsid w:val="000553E6"/>
    <w:rsid w:val="000C2E4B"/>
    <w:rsid w:val="000C7A93"/>
    <w:rsid w:val="00122023"/>
    <w:rsid w:val="00136429"/>
    <w:rsid w:val="00154649"/>
    <w:rsid w:val="00165587"/>
    <w:rsid w:val="001E73CC"/>
    <w:rsid w:val="00205283"/>
    <w:rsid w:val="00254C85"/>
    <w:rsid w:val="00284ECD"/>
    <w:rsid w:val="002D6E1E"/>
    <w:rsid w:val="002E4C1F"/>
    <w:rsid w:val="002E566A"/>
    <w:rsid w:val="002F5765"/>
    <w:rsid w:val="00362485"/>
    <w:rsid w:val="00362D1E"/>
    <w:rsid w:val="00373837"/>
    <w:rsid w:val="003A04B0"/>
    <w:rsid w:val="003A7A26"/>
    <w:rsid w:val="003D1EFF"/>
    <w:rsid w:val="003D5331"/>
    <w:rsid w:val="004251A2"/>
    <w:rsid w:val="004437AD"/>
    <w:rsid w:val="004763D9"/>
    <w:rsid w:val="004A1142"/>
    <w:rsid w:val="004A4D03"/>
    <w:rsid w:val="00511DD3"/>
    <w:rsid w:val="00557B22"/>
    <w:rsid w:val="00586F20"/>
    <w:rsid w:val="005F66FF"/>
    <w:rsid w:val="00640F4F"/>
    <w:rsid w:val="00693778"/>
    <w:rsid w:val="006A6F5D"/>
    <w:rsid w:val="006C36F8"/>
    <w:rsid w:val="0071214F"/>
    <w:rsid w:val="00721168"/>
    <w:rsid w:val="007474BF"/>
    <w:rsid w:val="00762D5A"/>
    <w:rsid w:val="00771E5A"/>
    <w:rsid w:val="00793D98"/>
    <w:rsid w:val="007B7BFB"/>
    <w:rsid w:val="007F0E3B"/>
    <w:rsid w:val="00801A7E"/>
    <w:rsid w:val="00882B78"/>
    <w:rsid w:val="008C058C"/>
    <w:rsid w:val="008D4EBC"/>
    <w:rsid w:val="008E25B2"/>
    <w:rsid w:val="008F26A7"/>
    <w:rsid w:val="00957E23"/>
    <w:rsid w:val="00993D2B"/>
    <w:rsid w:val="009B6FB1"/>
    <w:rsid w:val="009C3E0D"/>
    <w:rsid w:val="009D72AA"/>
    <w:rsid w:val="009F152B"/>
    <w:rsid w:val="00A44AE5"/>
    <w:rsid w:val="00A63887"/>
    <w:rsid w:val="00A64365"/>
    <w:rsid w:val="00AE68C9"/>
    <w:rsid w:val="00B01B98"/>
    <w:rsid w:val="00B6502F"/>
    <w:rsid w:val="00BB1318"/>
    <w:rsid w:val="00BB48D6"/>
    <w:rsid w:val="00C61517"/>
    <w:rsid w:val="00C74F31"/>
    <w:rsid w:val="00C93366"/>
    <w:rsid w:val="00C94F51"/>
    <w:rsid w:val="00CE022F"/>
    <w:rsid w:val="00D70FF0"/>
    <w:rsid w:val="00D9436E"/>
    <w:rsid w:val="00DB362D"/>
    <w:rsid w:val="00DF5B3E"/>
    <w:rsid w:val="00DF795C"/>
    <w:rsid w:val="00E4397C"/>
    <w:rsid w:val="00E440A6"/>
    <w:rsid w:val="00E524AE"/>
    <w:rsid w:val="00E73048"/>
    <w:rsid w:val="00E73D2F"/>
    <w:rsid w:val="00E74CDA"/>
    <w:rsid w:val="00EA42B2"/>
    <w:rsid w:val="00EA57CD"/>
    <w:rsid w:val="00EB3874"/>
    <w:rsid w:val="00F7114F"/>
    <w:rsid w:val="00FB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BE04"/>
  <w15:chartTrackingRefBased/>
  <w15:docId w15:val="{1354B906-8A5C-4331-AF1C-23BEE62D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 w:type="paragraph" w:styleId="ListParagraph">
    <w:name w:val="List Paragraph"/>
    <w:basedOn w:val="Normal"/>
    <w:uiPriority w:val="34"/>
    <w:qFormat/>
    <w:rsid w:val="00D9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2944</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2022-05-13T07:48:00Z</dcterms:created>
  <dcterms:modified xsi:type="dcterms:W3CDTF">2022-05-13T07:48:00Z</dcterms:modified>
</cp:coreProperties>
</file>